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E9D2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CBFF39" w14:textId="6D7A34DF" w:rsidR="001F3A0A" w:rsidRPr="005C1AFB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E7C9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5 </w:t>
      </w: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do Regulaminu udziału w projekcie</w:t>
      </w:r>
    </w:p>
    <w:p w14:paraId="210AF0C5" w14:textId="77777777" w:rsidR="00A13155" w:rsidRPr="005C1AFB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50F2764" w14:textId="77777777" w:rsidR="00A13155" w:rsidRPr="005C1AFB" w:rsidRDefault="00A13155" w:rsidP="00A13155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2836572D" w14:textId="440CE2F3" w:rsidR="005C1AFB" w:rsidRDefault="005C1AFB" w:rsidP="007D41EC">
      <w:pPr>
        <w:autoSpaceDE w:val="0"/>
        <w:autoSpaceDN w:val="0"/>
        <w:spacing w:before="12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>UMOWA NA ŚWIADCZENIE USŁUG SZKOLENIOWO – DORADCZYCH</w:t>
      </w:r>
    </w:p>
    <w:p w14:paraId="3D6B57D3" w14:textId="0C63EB29" w:rsidR="002965BF" w:rsidRDefault="002965BF" w:rsidP="007D41EC">
      <w:pPr>
        <w:autoSpaceDE w:val="0"/>
        <w:autoSpaceDN w:val="0"/>
        <w:spacing w:before="12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>
        <w:rPr>
          <w:rFonts w:ascii="Century Gothic" w:hAnsi="Century Gothic"/>
          <w:b/>
          <w:bCs/>
          <w:color w:val="000000"/>
        </w:rPr>
        <w:t>nr ………./ASIZ/..............</w:t>
      </w:r>
    </w:p>
    <w:p w14:paraId="331564C3" w14:textId="178A887F" w:rsidR="005C1AFB" w:rsidRPr="007D41EC" w:rsidRDefault="002965BF" w:rsidP="007D41EC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Cs/>
          <w:spacing w:val="8"/>
          <w:lang w:val="pl-PL" w:eastAsia="pl-PL"/>
        </w:rPr>
      </w:pPr>
      <w:r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>z</w:t>
      </w:r>
      <w:r w:rsidR="004C15DB"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>awarta</w:t>
      </w:r>
      <w:r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 </w:t>
      </w:r>
      <w:r w:rsidR="004C15DB"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>w dniu ………………..</w:t>
      </w:r>
      <w:r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 </w:t>
      </w:r>
      <w:r w:rsidR="005C1AFB"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w ramach </w:t>
      </w:r>
    </w:p>
    <w:p w14:paraId="4C4837F8" w14:textId="77777777" w:rsidR="007D41EC" w:rsidRDefault="007D41EC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4EEF0BE2" w14:textId="35926562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Osi priorytetowej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Włączenie społeczne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43A7BD3C" w14:textId="34B2E435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Działania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9.1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Aktywna integracja</w:t>
      </w:r>
    </w:p>
    <w:p w14:paraId="4DE98ADD" w14:textId="34D45B06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color w:val="000000"/>
          <w:lang w:val="pl-PL" w:eastAsia="pl-PL"/>
        </w:rPr>
        <w:t>Poddziałania 9.1.1: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Aktywna integracja – konkursy horyzontalne</w:t>
      </w:r>
    </w:p>
    <w:p w14:paraId="1513825D" w14:textId="685F0BA8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Projektu: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Aktywni społecznie i zawodowo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</w:p>
    <w:p w14:paraId="287CDBEA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współfinansowanego ze środków Unii Europejskiej w ramach Europejskiego Funduszu Społecznego </w:t>
      </w:r>
    </w:p>
    <w:p w14:paraId="590D6757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72424B72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Pomiędzy:</w:t>
      </w:r>
    </w:p>
    <w:p w14:paraId="74554242" w14:textId="1D01E9CB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Nazwa </w:t>
      </w:r>
      <w:r>
        <w:rPr>
          <w:rFonts w:ascii="Century Gothic" w:eastAsia="Times New Roman" w:hAnsi="Century Gothic" w:cs="Calibri"/>
          <w:b/>
          <w:lang w:val="pl-PL" w:eastAsia="pl-PL"/>
        </w:rPr>
        <w:t>Projektodawcy</w:t>
      </w: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/>
          <w:lang w:val="pl-PL" w:eastAsia="pl-PL"/>
        </w:rPr>
        <w:t>Sudecki Instytut Rozwoju Regionalnego</w:t>
      </w:r>
    </w:p>
    <w:p w14:paraId="05DBC2E9" w14:textId="4D29C192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Adres: 58-100 Świdnica, ul. </w:t>
      </w:r>
      <w:r w:rsidR="004641A7">
        <w:rPr>
          <w:rFonts w:ascii="Century Gothic" w:eastAsia="Times New Roman" w:hAnsi="Century Gothic" w:cs="Calibri"/>
          <w:b/>
          <w:lang w:val="pl-PL" w:eastAsia="pl-PL"/>
        </w:rPr>
        <w:t>Pafalu 6 lok. 26</w:t>
      </w:r>
    </w:p>
    <w:p w14:paraId="4850672F" w14:textId="77777777" w:rsidR="005C1AFB" w:rsidRDefault="005C1AFB" w:rsidP="005C1AFB">
      <w:pPr>
        <w:spacing w:after="0" w:line="360" w:lineRule="auto"/>
        <w:jc w:val="both"/>
        <w:rPr>
          <w:rFonts w:ascii="Century Gothic" w:hAnsi="Century Gothic" w:cs="Tahoma"/>
          <w:bCs/>
          <w:lang w:val="pl-PL"/>
        </w:rPr>
      </w:pPr>
      <w:r w:rsidRPr="005C1AFB">
        <w:rPr>
          <w:rFonts w:ascii="Century Gothic" w:hAnsi="Century Gothic" w:cs="Tahoma"/>
          <w:bCs/>
          <w:lang w:val="pl-PL"/>
        </w:rPr>
        <w:t xml:space="preserve">zarejestrowanym w </w:t>
      </w:r>
      <w:r w:rsidRPr="005C1AFB">
        <w:rPr>
          <w:rFonts w:ascii="Century Gothic" w:hAnsi="Century Gothic" w:cs="Tahoma"/>
          <w:lang w:val="pl-PL"/>
        </w:rPr>
        <w:t>Krajowym Rejestrze Sądowym</w:t>
      </w:r>
      <w:r w:rsidRPr="005C1AFB">
        <w:rPr>
          <w:rFonts w:ascii="Century Gothic" w:hAnsi="Century Gothic" w:cs="Tahoma"/>
          <w:bCs/>
          <w:lang w:val="pl-PL"/>
        </w:rPr>
        <w:t>, prowadzonym przez Sąd Rejonowy dl</w:t>
      </w:r>
      <w:r>
        <w:rPr>
          <w:rFonts w:ascii="Century Gothic" w:hAnsi="Century Gothic" w:cs="Tahoma"/>
          <w:bCs/>
          <w:lang w:val="pl-PL"/>
        </w:rPr>
        <w:t xml:space="preserve">a </w:t>
      </w:r>
      <w:r w:rsidRPr="005C1AFB">
        <w:rPr>
          <w:rFonts w:ascii="Century Gothic" w:hAnsi="Century Gothic" w:cs="Tahoma"/>
          <w:bCs/>
          <w:lang w:val="pl-PL"/>
        </w:rPr>
        <w:t>Wrocławia Fabrycznej we Wrocławiu, IX Wydział Gospodarczy Krajowego Rejestru Sadowego,</w:t>
      </w:r>
      <w:r w:rsidRPr="005C1AFB">
        <w:rPr>
          <w:rFonts w:ascii="Century Gothic" w:hAnsi="Century Gothic" w:cs="Tahoma"/>
          <w:lang w:val="pl-PL"/>
        </w:rPr>
        <w:t xml:space="preserve"> pod nr </w:t>
      </w:r>
      <w:r w:rsidRPr="005C1AFB">
        <w:rPr>
          <w:rFonts w:ascii="Century Gothic" w:hAnsi="Century Gothic" w:cs="Tahoma"/>
          <w:bCs/>
          <w:lang w:val="pl-PL"/>
        </w:rPr>
        <w:t>0000217593</w:t>
      </w:r>
      <w:r w:rsidRPr="005C1AFB">
        <w:rPr>
          <w:rFonts w:ascii="Century Gothic" w:hAnsi="Century Gothic" w:cs="Tahoma"/>
          <w:lang w:val="pl-PL"/>
        </w:rPr>
        <w:t xml:space="preserve">, NIP: </w:t>
      </w:r>
      <w:r w:rsidRPr="005C1AFB">
        <w:rPr>
          <w:rFonts w:ascii="Century Gothic" w:hAnsi="Century Gothic" w:cs="Tahoma"/>
          <w:bCs/>
          <w:lang w:val="pl-PL"/>
        </w:rPr>
        <w:t>8842529857</w:t>
      </w:r>
      <w:r>
        <w:rPr>
          <w:rFonts w:ascii="Century Gothic" w:hAnsi="Century Gothic" w:cs="Tahoma"/>
          <w:bCs/>
          <w:lang w:val="pl-PL"/>
        </w:rPr>
        <w:t>,</w:t>
      </w:r>
    </w:p>
    <w:p w14:paraId="3EBAE295" w14:textId="597067F1" w:rsidR="005C1AFB" w:rsidRPr="005C1AFB" w:rsidRDefault="005C1AFB" w:rsidP="005C1AFB">
      <w:pPr>
        <w:spacing w:after="0" w:line="360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reprezentowanym przez  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Joanna Drapała –  Prezes Zarządu</w:t>
      </w:r>
    </w:p>
    <w:p w14:paraId="22934A25" w14:textId="09F37829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 dalej „</w:t>
      </w:r>
      <w:r w:rsidRPr="00AC60B8">
        <w:rPr>
          <w:rFonts w:ascii="Century Gothic" w:eastAsia="Times New Roman" w:hAnsi="Century Gothic" w:cs="Calibri"/>
          <w:b/>
          <w:bCs/>
          <w:lang w:val="pl-PL" w:eastAsia="pl-PL"/>
        </w:rPr>
        <w:t>Projektodawc</w:t>
      </w:r>
      <w:r w:rsidR="00AC60B8" w:rsidRPr="00AC60B8">
        <w:rPr>
          <w:rFonts w:ascii="Century Gothic" w:eastAsia="Times New Roman" w:hAnsi="Century Gothic" w:cs="Calibri"/>
          <w:b/>
          <w:bCs/>
          <w:lang w:val="pl-PL" w:eastAsia="pl-PL"/>
        </w:rPr>
        <w:t>ą</w:t>
      </w:r>
      <w:r w:rsidR="00E96BD5">
        <w:rPr>
          <w:rFonts w:ascii="Century Gothic" w:eastAsia="Times New Roman" w:hAnsi="Century Gothic" w:cs="Calibri"/>
          <w:b/>
          <w:bCs/>
          <w:lang w:val="pl-PL" w:eastAsia="pl-PL"/>
        </w:rPr>
        <w:t>/Realizatorem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07902305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a</w:t>
      </w:r>
    </w:p>
    <w:p w14:paraId="3F9C256C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Panem/ Panią: </w:t>
      </w:r>
    </w:p>
    <w:p w14:paraId="64547952" w14:textId="12C550B1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Imię i nazwisko: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</w:t>
      </w:r>
    </w:p>
    <w:p w14:paraId="17BF3DDF" w14:textId="5B1C9616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zamieszkałym/-ą: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………………………..</w:t>
      </w:r>
    </w:p>
    <w:p w14:paraId="1EB549E3" w14:textId="0AE16108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nr PESEL: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…………………………</w:t>
      </w:r>
    </w:p>
    <w:p w14:paraId="2BE053F2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zwanym/-ą dalej „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Uczestnikiem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58013385" w14:textId="71114A62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</w:p>
    <w:p w14:paraId="41224F88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Strony uzgodniły, co następuje: </w:t>
      </w:r>
    </w:p>
    <w:p w14:paraId="5C51E28E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C6D4CBC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18259866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1 </w:t>
      </w:r>
    </w:p>
    <w:p w14:paraId="75543B3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Przedmiot umowy</w:t>
      </w:r>
    </w:p>
    <w:p w14:paraId="3B6FEB9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FAD0400" w14:textId="4AF7D062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Przedmiotem niniejszej Umowy jest udzielenie przez 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wsparcia w formie </w:t>
      </w:r>
      <w:r w:rsidRPr="005C1AFB">
        <w:rPr>
          <w:rFonts w:ascii="Century Gothic" w:eastAsia="Times New Roman" w:hAnsi="Century Gothic" w:cs="Calibri"/>
          <w:lang w:val="pl-PL" w:eastAsia="pl-PL"/>
        </w:rPr>
        <w:br/>
        <w:t>nieodpłatnych</w:t>
      </w:r>
      <w:r w:rsidR="00210225">
        <w:rPr>
          <w:rFonts w:ascii="Century Gothic" w:eastAsia="Times New Roman" w:hAnsi="Century Gothic" w:cs="Calibri"/>
          <w:lang w:val="pl-PL" w:eastAsia="pl-PL"/>
        </w:rPr>
        <w:t>, współfinansowanych ze środków Unii Europejskiej,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usług szkoleniowo-</w:t>
      </w:r>
      <w:r w:rsidRPr="005C1AFB">
        <w:rPr>
          <w:rFonts w:ascii="Century Gothic" w:eastAsia="Times New Roman" w:hAnsi="Century Gothic" w:cs="Calibri"/>
          <w:lang w:val="pl-PL" w:eastAsia="pl-PL"/>
        </w:rPr>
        <w:lastRenderedPageBreak/>
        <w:t>doradczyc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>h, mających na celu wsparcie aktywizacji społeczno – zawodowej Uczestników projektu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3B7F442D" w14:textId="21F60DD8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Wsparcie szkoleniowo-doradcze udzielane jest w okresie od dnia podpisania niniejszej Umowy do</w:t>
      </w:r>
      <w:r w:rsidR="0020483A">
        <w:rPr>
          <w:rFonts w:ascii="Century Gothic" w:eastAsia="Times New Roman" w:hAnsi="Century Gothic" w:cs="Calibri"/>
          <w:lang w:val="pl-PL" w:eastAsia="pl-PL"/>
        </w:rPr>
        <w:t xml:space="preserve"> dnia zakończenia udziału w projekcie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</w:t>
      </w:r>
    </w:p>
    <w:p w14:paraId="1C673376" w14:textId="77777777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Uczestnik Projektu otrzymuje wsparcie szkoleniowo-doradcze na zasadach i warunkach określonych w niniejszej Umowie. </w:t>
      </w:r>
    </w:p>
    <w:p w14:paraId="3E2E09CA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0" w:name="_Toc197927421"/>
    </w:p>
    <w:p w14:paraId="073A4EA5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2 </w:t>
      </w:r>
    </w:p>
    <w:p w14:paraId="62E7D59F" w14:textId="77777777" w:rsidR="005C1AFB" w:rsidRPr="005C1AFB" w:rsidRDefault="005C1AFB" w:rsidP="005C1AFB">
      <w:pPr>
        <w:shd w:val="clear" w:color="auto" w:fill="FFFFFF"/>
        <w:spacing w:before="100" w:after="0" w:line="276" w:lineRule="auto"/>
        <w:ind w:left="1982" w:right="1973"/>
        <w:jc w:val="center"/>
        <w:rPr>
          <w:rFonts w:ascii="Century Gothic" w:eastAsia="Times New Roman" w:hAnsi="Century Gothic" w:cs="Calibri"/>
          <w:i/>
          <w:lang w:val="pl-PL" w:eastAsia="pl-PL"/>
        </w:rPr>
      </w:pPr>
      <w:bookmarkStart w:id="1" w:name="_Toc197927422"/>
      <w:bookmarkEnd w:id="0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Postanowienia szczegółowe </w:t>
      </w:r>
      <w:bookmarkEnd w:id="1"/>
    </w:p>
    <w:p w14:paraId="67CC5F72" w14:textId="4F3B3967" w:rsidR="005C1AFB" w:rsidRPr="005C1AFB" w:rsidRDefault="005C1AFB" w:rsidP="00DF1329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ustalany jest przez </w:t>
      </w:r>
      <w:r w:rsidR="005B167D" w:rsidRPr="00DB00E0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i obejmuje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realizację </w:t>
      </w:r>
      <w:r w:rsidR="0065700E">
        <w:rPr>
          <w:rFonts w:ascii="Century Gothic" w:eastAsia="Times New Roman" w:hAnsi="Century Gothic" w:cs="Calibri"/>
          <w:lang w:val="pl-PL" w:eastAsia="pl-PL"/>
        </w:rPr>
        <w:t>działań</w:t>
      </w:r>
      <w:r w:rsidR="0065700E" w:rsidRPr="00DB00E0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>podnoszących umiejętności/kompetencje społeczne, jak i umożliwiających podniesienie kompetencji lub umiejętności pożądanych na rynku pracy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Zakres tematyczny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wynikać będzie ze </w:t>
      </w:r>
      <w:r w:rsidR="00DB00E0" w:rsidRPr="00DF1329">
        <w:rPr>
          <w:rFonts w:ascii="Century Gothic" w:eastAsia="Times New Roman" w:hAnsi="Century Gothic" w:cs="Calibri"/>
          <w:lang w:val="pl-PL" w:eastAsia="pl-PL"/>
        </w:rPr>
        <w:t xml:space="preserve">zdiagnozowanych potrzeb Uczestnika. </w:t>
      </w:r>
    </w:p>
    <w:p w14:paraId="26767F38" w14:textId="47D00F64" w:rsidR="005C1AFB" w:rsidRPr="005C1AFB" w:rsidRDefault="005C1AFB" w:rsidP="005C1AFB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color w:val="00B0F0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doradczego ustalany jest przez </w:t>
      </w:r>
      <w:r w:rsidR="00DF1329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na podstawie diagnozy potrzeb Uczestnika. W projekcie przewidziano:</w:t>
      </w:r>
    </w:p>
    <w:p w14:paraId="77877D83" w14:textId="77777777" w:rsidR="0084699F" w:rsidRDefault="005C1AFB" w:rsidP="005C1AFB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Diagnozę - </w:t>
      </w:r>
      <w:r w:rsidR="00FC1EC7" w:rsidRPr="00FC1EC7">
        <w:rPr>
          <w:rFonts w:ascii="Century Gothic" w:hAnsi="Century Gothic" w:cs="Calibri"/>
          <w:lang w:val="pl-PL"/>
        </w:rPr>
        <w:t xml:space="preserve">mająca na celu rozpoznanie uwarunkowań środowiskowych, </w:t>
      </w:r>
      <w:r w:rsidR="00FC1EC7" w:rsidRPr="00FC1EC7">
        <w:rPr>
          <w:rFonts w:ascii="Century Gothic" w:hAnsi="Century Gothic" w:cs="Verdana"/>
          <w:lang w:val="pl-PL"/>
        </w:rPr>
        <w:t xml:space="preserve">sytuacji problemowej, zasobów, potencjału, predyspozycji, kompetencji i potrzeb Uczestnika/czki </w:t>
      </w:r>
      <w:r w:rsidR="00FC1EC7" w:rsidRPr="006441D4">
        <w:rPr>
          <w:rFonts w:ascii="Century Gothic" w:hAnsi="Century Gothic" w:cs="Verdana"/>
          <w:lang w:val="pl-PL"/>
        </w:rPr>
        <w:t>projektu w celu przygotowania i realizacji wsparcia w oparciu o ścieżkę reintegracji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AFB42EA" w14:textId="556DFCC9" w:rsidR="005C1AFB" w:rsidRPr="005C1AFB" w:rsidRDefault="005C1AFB" w:rsidP="0084699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indywidualnie, w wymiarze </w:t>
      </w:r>
      <w:r w:rsidR="006441D4" w:rsidRPr="006441D4">
        <w:rPr>
          <w:rFonts w:ascii="Century Gothic" w:eastAsia="Times New Roman" w:hAnsi="Century Gothic" w:cs="Calibri"/>
          <w:color w:val="000000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4B7AB4FB" w14:textId="77777777" w:rsidR="0020483A" w:rsidRDefault="0020483A" w:rsidP="0020483A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DA6203">
        <w:rPr>
          <w:rFonts w:ascii="Century Gothic" w:eastAsia="Times New Roman" w:hAnsi="Century Gothic" w:cs="Calibri"/>
          <w:color w:val="000000"/>
          <w:lang w:val="pl-PL" w:eastAsia="pl-PL"/>
        </w:rPr>
        <w:t>Poradnictwo zawodowe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- </w:t>
      </w:r>
      <w:r w:rsidRPr="00DA6203">
        <w:rPr>
          <w:rFonts w:ascii="Century Gothic" w:hAnsi="Century Gothic" w:cs="Calibri"/>
          <w:lang w:val="pl-PL"/>
        </w:rPr>
        <w:t>mające na celu analizę sytuacji Uczestnika/czki  związanej z ich obecną sytuacją na rynku pracy, nakreślenie jego/jej predyspozycji zawodowych, w efekcie opracowanie Indywidualnego Planu Działania uczestnika/czki, określającego cele zawodowe, alternatywy zawodowe, działania oraz terminy realizacji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3544FA7" w14:textId="336BB06F" w:rsidR="0020483A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w wymiarze </w:t>
      </w:r>
      <w:r w:rsidRPr="00DA6203">
        <w:rPr>
          <w:rFonts w:ascii="Century Gothic" w:eastAsia="Times New Roman" w:hAnsi="Century Gothic" w:cs="Calibri"/>
          <w:color w:val="000000"/>
          <w:lang w:val="pl-PL" w:eastAsia="pl-PL"/>
        </w:rPr>
        <w:t>5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75400C19" w14:textId="504C5D49" w:rsidR="0020483A" w:rsidRPr="009C3541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Efektem przeprowadzonej diagnozy i Indywidualnego Planu Działania będzie ustalenie celów do osiągnięcia oraz planu działań służących aktywizacji społeczno – zawodowej, zawartych w formie </w:t>
      </w:r>
      <w:r w:rsidRP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>Umowy współpracy</w:t>
      </w:r>
      <w:r w:rsid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 xml:space="preserve">, 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stanowiącej załącznik nr </w:t>
      </w:r>
      <w:r w:rsidR="003159B0">
        <w:rPr>
          <w:rFonts w:ascii="Century Gothic" w:eastAsia="Times New Roman" w:hAnsi="Century Gothic" w:cs="Calibri"/>
          <w:color w:val="000000"/>
          <w:lang w:val="pl-PL" w:eastAsia="pl-PL"/>
        </w:rPr>
        <w:t>6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 do Regulaminu udziału w projekcie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0442CDFF" w14:textId="5C1F4430" w:rsidR="005C1AFB" w:rsidRPr="005C1AFB" w:rsidRDefault="0084699F" w:rsidP="005C1AFB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381EA6">
        <w:rPr>
          <w:rFonts w:ascii="Century Gothic" w:eastAsia="Times New Roman" w:hAnsi="Century Gothic" w:cs="Calibri"/>
          <w:color w:val="000000"/>
          <w:lang w:val="pl-PL" w:eastAsia="pl-PL"/>
        </w:rPr>
        <w:t xml:space="preserve">Specjalistyczne </w:t>
      </w:r>
      <w:r w:rsidRPr="00381EA6">
        <w:rPr>
          <w:rFonts w:ascii="Century Gothic" w:hAnsi="Century Gothic" w:cs="Calibri"/>
          <w:lang w:val="pl-PL"/>
        </w:rPr>
        <w:t>poradnictwo obejmujące poradnictwo prawne, rodzinne oraz psychologiczne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–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mające na celu pomoc w kwestiach prawnych oraz kwestiach przezwyciężenia osobistych trudności wynikających z aktualnej sytuacji życiowej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Wsparcie będzie świadczone indywidualnie, w wymiarze </w:t>
      </w:r>
      <w:r w:rsidR="00381EA6" w:rsidRPr="00DA6203">
        <w:rPr>
          <w:rFonts w:ascii="Century Gothic" w:eastAsia="Times New Roman" w:hAnsi="Century Gothic" w:cs="Calibri"/>
          <w:color w:val="000000"/>
          <w:lang w:val="pl-PL" w:eastAsia="pl-PL"/>
        </w:rPr>
        <w:t>15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1F37C133" w14:textId="77777777" w:rsidR="009C3541" w:rsidRPr="009C3541" w:rsidRDefault="00381EA6" w:rsidP="00381EA6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Pośrednictwo pracy - </w:t>
      </w:r>
      <w:r w:rsidRPr="009C3541">
        <w:rPr>
          <w:rFonts w:ascii="Century Gothic" w:hAnsi="Century Gothic" w:cs="Calibri"/>
          <w:lang w:val="pl-PL"/>
        </w:rPr>
        <w:t xml:space="preserve">wsparcie w zakresie pomocy Uczestnikom/czkom w przygotowywaniu dokumentów aplikacyjnych, analizy ofert pracy, kontaktów z potencjalnymi pracodawcami. </w:t>
      </w:r>
    </w:p>
    <w:p w14:paraId="29F7F16E" w14:textId="1285A622" w:rsidR="00381EA6" w:rsidRDefault="00381EA6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hAnsi="Century Gothic" w:cs="Calibri"/>
          <w:lang w:val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10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2C4320F2" w14:textId="1764B6F6" w:rsidR="00D53783" w:rsidRPr="009C3541" w:rsidRDefault="00D9440D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hAnsi="Century Gothic" w:cs="Calibri"/>
          <w:lang w:val="pl-PL"/>
        </w:rPr>
        <w:lastRenderedPageBreak/>
        <w:t xml:space="preserve">Uczestnik zobowiązany </w:t>
      </w:r>
      <w:r w:rsidRPr="00D9440D">
        <w:rPr>
          <w:rFonts w:ascii="Century Gothic" w:hAnsi="Century Gothic" w:cs="Calibri"/>
          <w:lang w:val="pl-PL"/>
        </w:rPr>
        <w:t xml:space="preserve">jest </w:t>
      </w:r>
      <w:r w:rsidRPr="00D9440D">
        <w:rPr>
          <w:rFonts w:ascii="Century Gothic" w:hAnsi="Century Gothic"/>
          <w:lang w:val="pl-PL"/>
        </w:rPr>
        <w:t>do podjęcia zatrudnienia po przedstawieniu</w:t>
      </w:r>
      <w:r>
        <w:rPr>
          <w:rFonts w:ascii="Century Gothic" w:hAnsi="Century Gothic"/>
          <w:lang w:val="pl-PL"/>
        </w:rPr>
        <w:t xml:space="preserve"> przez pośrednika pracy maksymalnie </w:t>
      </w:r>
      <w:r w:rsidRPr="00D9440D">
        <w:rPr>
          <w:rFonts w:ascii="Century Gothic" w:hAnsi="Century Gothic"/>
          <w:lang w:val="pl-PL"/>
        </w:rPr>
        <w:t>3 ofert pracy.</w:t>
      </w:r>
    </w:p>
    <w:p w14:paraId="1C0F05B0" w14:textId="77777777" w:rsidR="009C3541" w:rsidRPr="009C3541" w:rsidRDefault="009C3541" w:rsidP="009C3541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trenera pracy - </w:t>
      </w:r>
      <w:r w:rsidRPr="009C3541">
        <w:rPr>
          <w:rFonts w:ascii="Century Gothic" w:hAnsi="Century Gothic" w:cs="Calibri"/>
          <w:lang w:val="pl-PL"/>
        </w:rPr>
        <w:t xml:space="preserve">mające na celu m.in. </w:t>
      </w:r>
      <w:r w:rsidRPr="009C3541">
        <w:rPr>
          <w:rFonts w:ascii="Century Gothic" w:hAnsi="Century Gothic" w:cs="Verdana"/>
          <w:lang w:val="pl-PL"/>
        </w:rPr>
        <w:t>analizę danego stanowiska pracy pod kątem specyficznych potrzeb Uczestnika/czki, wsparcie w miejscu pracy i poza nim, stałe</w:t>
      </w:r>
      <w:r w:rsidRPr="009C3541">
        <w:rPr>
          <w:rFonts w:ascii="Century Gothic" w:hAnsi="Century Gothic" w:cs="Calibri"/>
          <w:lang w:val="pl-PL"/>
        </w:rPr>
        <w:t xml:space="preserve"> </w:t>
      </w:r>
      <w:r w:rsidRPr="009C3541">
        <w:rPr>
          <w:rFonts w:ascii="Century Gothic" w:hAnsi="Century Gothic" w:cs="Verdana"/>
          <w:lang w:val="pl-PL"/>
        </w:rPr>
        <w:t xml:space="preserve">monitorowanie przebiegu pracy, stałą współpracę z pracodawcą oraz rodziną i otoczeniem Uczestnika/czki. </w:t>
      </w:r>
    </w:p>
    <w:p w14:paraId="2CD7BB30" w14:textId="4B79D5E1" w:rsidR="009C3541" w:rsidRPr="009C3541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18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304E6B5F" w14:textId="77777777" w:rsidR="009C3541" w:rsidRDefault="009C3541" w:rsidP="00381EA6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Szkolenia - </w:t>
      </w:r>
      <w:r w:rsidRPr="009C3541">
        <w:rPr>
          <w:rFonts w:ascii="Century Gothic" w:hAnsi="Century Gothic" w:cs="Calibri"/>
          <w:lang w:val="pl-PL"/>
        </w:rPr>
        <w:t xml:space="preserve">wsparcie będące odpowiedzią na zindywidualizowane potrzeby </w:t>
      </w:r>
      <w:r w:rsidRPr="009C3541">
        <w:rPr>
          <w:rFonts w:ascii="Century Gothic" w:hAnsi="Century Gothic" w:cs="Calibri"/>
          <w:lang w:val="pl-PL"/>
        </w:rPr>
        <w:br/>
        <w:t>i predyspozycje wynikające z doradztwa zawodowego.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2739FEBB" w14:textId="200223EF" w:rsidR="00381EA6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średnio 32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szkolenia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dla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</w:p>
    <w:p w14:paraId="0D29439F" w14:textId="2C88F2F3" w:rsidR="00210225" w:rsidRPr="005C1AFB" w:rsidRDefault="00210225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>Uczestnik w ramach szkoleń będzie mieć zapewnione ubezpieczenie NNW, przerwy kawowe, lunch</w:t>
      </w:r>
      <w:r w:rsidR="00973B24">
        <w:rPr>
          <w:rFonts w:ascii="Century Gothic" w:eastAsia="Times New Roman" w:hAnsi="Century Gothic" w:cs="Calibri"/>
          <w:color w:val="000000"/>
          <w:lang w:val="pl-PL" w:eastAsia="pl-PL"/>
        </w:rPr>
        <w:t>, materiały szkoleniowe oraz kolację i nocleg (w przypadku kilkudniowych szkoleń wyjazdowych).</w:t>
      </w:r>
    </w:p>
    <w:p w14:paraId="1BF2D3F5" w14:textId="77777777" w:rsidR="00E96BD5" w:rsidRDefault="005C1AFB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Liczba godzin usług szkoleniowych lub doradczych świadczona na rzecz Uczestnika Projektu potwierdzana jest podpisem Uczestnika projektu, złożonym w dniu korzystania z usługi na odpowiednim formularzu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lub w najbliższym możliwym dniu w przypadku korzystania z usług szkoleniowych lub doradczych za pomocą zdalnych form komunikowania (telefon, komunikator internetowy)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 </w:t>
      </w:r>
    </w:p>
    <w:p w14:paraId="2A51479A" w14:textId="2DE2CA25" w:rsidR="005C1AFB" w:rsidRPr="00E96BD5" w:rsidRDefault="00E96BD5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E96BD5">
        <w:rPr>
          <w:rFonts w:ascii="Century Gothic" w:hAnsi="Century Gothic"/>
          <w:lang w:val="pl-PL"/>
        </w:rPr>
        <w:t xml:space="preserve">Projektodawca dopuszcza możliwość świadczenia usług doradztwa w </w:t>
      </w:r>
      <w:r w:rsidR="000562E6" w:rsidRPr="00E96BD5">
        <w:rPr>
          <w:rFonts w:ascii="Century Gothic" w:hAnsi="Century Gothic"/>
          <w:lang w:val="pl-PL"/>
        </w:rPr>
        <w:t>oparciu</w:t>
      </w:r>
      <w:r w:rsidRPr="00E96BD5">
        <w:rPr>
          <w:rFonts w:ascii="Century Gothic" w:hAnsi="Century Gothic"/>
          <w:lang w:val="pl-PL"/>
        </w:rPr>
        <w:t xml:space="preserve"> o zaakceptowaną przez uczestnika formę przeprowadzenia indywidualnego doradztwa/ poradnictwa zawodowego/pośrednictwa, w tym m.in.: doradztwo/poradnictwo zawodowe/pośrednic</w:t>
      </w:r>
      <w:r>
        <w:rPr>
          <w:rFonts w:ascii="Century Gothic" w:hAnsi="Century Gothic"/>
          <w:lang w:val="pl-PL"/>
        </w:rPr>
        <w:t>t</w:t>
      </w:r>
      <w:r w:rsidRPr="00E96BD5">
        <w:rPr>
          <w:rFonts w:ascii="Century Gothic" w:hAnsi="Century Gothic"/>
          <w:lang w:val="pl-PL"/>
        </w:rPr>
        <w:t>wo telefoniczne z ewentualną opcją połączenia video; wsparcie poprzez narzędzie typu Messenger czy WhatsApp, Skype; kontakt za pośrednictwem poczty elektronicznej (np. mailowa wysyłka narzędzi doradczych do pracy z uczestnikiem, niezbędnych do opracowania raportu końcowego); w zależności od potrzeb, praca na dokumentach za pomocą Google Dysk, Microsoft One Drive lub Dropbox.</w:t>
      </w:r>
    </w:p>
    <w:p w14:paraId="7F03DB50" w14:textId="56800EA6" w:rsidR="005C1AFB" w:rsidRPr="005C1AFB" w:rsidRDefault="005C1AFB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Etap szkoleniowo-doradczy zakończy się wydaniem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a zaświadczenia potwierdzającego udział w </w:t>
      </w:r>
      <w:r w:rsidR="0065700E" w:rsidRPr="00F6571F">
        <w:rPr>
          <w:rFonts w:ascii="Century Gothic" w:hAnsi="Century Gothic" w:cs="Cambria"/>
          <w:color w:val="000000"/>
          <w:lang w:val="pl-PL"/>
        </w:rPr>
        <w:t>min. 80 % zajęć szkoleniowo-doradczych</w:t>
      </w:r>
      <w:r w:rsidR="00210225">
        <w:rPr>
          <w:rFonts w:ascii="Century Gothic" w:hAnsi="Century Gothic" w:cs="Cambria"/>
          <w:color w:val="000000"/>
          <w:lang w:val="pl-PL"/>
        </w:rPr>
        <w:t xml:space="preserve"> 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65700E" w:rsidRPr="00F6571F">
        <w:rPr>
          <w:rFonts w:ascii="Century Gothic" w:hAnsi="Century Gothic" w:cs="Cambria"/>
          <w:color w:val="000000"/>
          <w:lang w:val="pl-PL"/>
        </w:rPr>
        <w:t>w ramach obowiązkowych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5201776F" w14:textId="77777777" w:rsidR="005C1AFB" w:rsidRPr="005C1AFB" w:rsidRDefault="005C1AFB" w:rsidP="00E96BD5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1D4FC268" w14:textId="77777777" w:rsidR="005C1AFB" w:rsidRPr="005C1AFB" w:rsidRDefault="005C1AFB" w:rsidP="00E96BD5">
      <w:pPr>
        <w:shd w:val="clear" w:color="auto" w:fill="FFFFFF"/>
        <w:spacing w:after="0" w:line="276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2" w:name="_Toc197927424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3 </w:t>
      </w:r>
    </w:p>
    <w:p w14:paraId="17E1C489" w14:textId="77777777" w:rsidR="005C1AFB" w:rsidRPr="005C1AFB" w:rsidRDefault="005C1AFB" w:rsidP="00E96BD5">
      <w:pPr>
        <w:shd w:val="clear" w:color="auto" w:fill="FFFFFF"/>
        <w:spacing w:after="0" w:line="36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>Zmiana umowy</w:t>
      </w:r>
      <w:bookmarkEnd w:id="2"/>
    </w:p>
    <w:p w14:paraId="4B3D6A73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>Wszelkie zmiany Umowy wymagają aneksu w formie pisemnej, pod rygorem nieważności.</w:t>
      </w:r>
    </w:p>
    <w:p w14:paraId="0E299DD7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 xml:space="preserve">Obowiązki i prawa wynikające z Umowy nie mogą być w żadnym wypadku przenoszone na rzecz osoby trzeciej. </w:t>
      </w:r>
    </w:p>
    <w:p w14:paraId="6D98EF55" w14:textId="77777777" w:rsidR="005C1AFB" w:rsidRPr="005C1AFB" w:rsidRDefault="005C1AFB" w:rsidP="00E96BD5">
      <w:pPr>
        <w:spacing w:after="0" w:line="240" w:lineRule="auto"/>
        <w:rPr>
          <w:rFonts w:ascii="Century Gothic" w:eastAsia="Times New Roman" w:hAnsi="Century Gothic" w:cs="Calibri"/>
          <w:lang w:val="pl-PL" w:eastAsia="pl-PL"/>
        </w:rPr>
      </w:pPr>
    </w:p>
    <w:p w14:paraId="48876B07" w14:textId="2F0125B6" w:rsidR="00BE7C9F" w:rsidRDefault="00BE7C9F">
      <w:pP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bookmarkStart w:id="3" w:name="_Toc197927425"/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 w:type="page"/>
      </w:r>
    </w:p>
    <w:p w14:paraId="5A10850B" w14:textId="77777777" w:rsidR="003159B0" w:rsidRDefault="003159B0">
      <w:pP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1F2292DB" w14:textId="3ED6910D" w:rsidR="005C1AFB" w:rsidRPr="005C1AFB" w:rsidRDefault="005C1AFB" w:rsidP="00E96BD5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4 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/>
        <w:t>Rozwiązanie umowy</w:t>
      </w:r>
      <w:bookmarkEnd w:id="3"/>
    </w:p>
    <w:p w14:paraId="0C68A285" w14:textId="68C982E6" w:rsidR="005C1AFB" w:rsidRPr="005C1AFB" w:rsidRDefault="005C1AFB" w:rsidP="00E96BD5">
      <w:pPr>
        <w:numPr>
          <w:ilvl w:val="0"/>
          <w:numId w:val="2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Uczestnik projektu może rozwiązać Umowę w każdym momencie bez wypowiedzenia</w:t>
      </w:r>
      <w:r w:rsidR="00D53783">
        <w:rPr>
          <w:rFonts w:ascii="Century Gothic" w:eastAsia="Times New Roman" w:hAnsi="Century Gothic" w:cs="Calibri"/>
          <w:lang w:val="pl-PL" w:eastAsia="pl-PL"/>
        </w:rPr>
        <w:t xml:space="preserve"> jeśli jest to usprawiedliwione ważnymi powodami osobistymi</w:t>
      </w:r>
      <w:r w:rsidRPr="005C1AFB">
        <w:rPr>
          <w:rFonts w:ascii="Century Gothic" w:eastAsia="Times New Roman" w:hAnsi="Century Gothic" w:cs="Calibri"/>
          <w:lang w:val="pl-PL" w:eastAsia="pl-PL"/>
        </w:rPr>
        <w:t>, co jest jednoznaczne z zaprzestaniem uczestniczenia w projekcie.</w:t>
      </w:r>
    </w:p>
    <w:p w14:paraId="252F7C52" w14:textId="1F7F95C0" w:rsidR="005C1AFB" w:rsidRPr="005C1AFB" w:rsidRDefault="00DF1329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 xml:space="preserve"> może wypowiedzieć Umowę ze skutkiem natychmiastowym, oznaczającym wykluczenie Uczestnika projektu z udziału w projekcie, w przypadkach, kiedy:</w:t>
      </w:r>
    </w:p>
    <w:p w14:paraId="29C10B84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opuści więcej niż 20 % godzin szkoleniowo-doradczych określonych w programie bloku szkoleniowo-doradczego;</w:t>
      </w:r>
    </w:p>
    <w:p w14:paraId="6DE3837E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przedstawi fałszywe lub niepełne oświadczenia w celu uzyskania wsparcia szkoleniowo-doradczego;</w:t>
      </w:r>
    </w:p>
    <w:p w14:paraId="2C2CF016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nie przestrzega zapisów </w:t>
      </w:r>
      <w:r w:rsidRPr="005C1AFB">
        <w:rPr>
          <w:rFonts w:ascii="Century Gothic" w:eastAsia="Times New Roman" w:hAnsi="Century Gothic" w:cs="Calibri"/>
          <w:i/>
          <w:lang w:val="pl-PL" w:eastAsia="pl-PL"/>
        </w:rPr>
        <w:t xml:space="preserve">Regulaminu rekrutacji i uczestnictwa w projekcie </w:t>
      </w:r>
      <w:r w:rsidRPr="005C1AFB">
        <w:rPr>
          <w:rFonts w:ascii="Century Gothic" w:eastAsia="Times New Roman" w:hAnsi="Century Gothic" w:cs="Calibri"/>
          <w:lang w:val="pl-PL" w:eastAsia="pl-PL"/>
        </w:rPr>
        <w:t>i/ lub rezygnuje w trakcie z uczestnictwa w projekcie.</w:t>
      </w:r>
    </w:p>
    <w:p w14:paraId="53035827" w14:textId="6DBF3218" w:rsidR="005C1AFB" w:rsidRPr="005C1AFB" w:rsidRDefault="005C1AFB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którym mowa w ust. 1 i 2 Uczestnik projektu traci prawo korzystania z dalszych usług szkoleniowo-doradczych oraz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pozostałych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4259BA0B" w14:textId="313409A9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których mowa w ust. 2, pkt. 1 - </w:t>
      </w:r>
      <w:r w:rsidR="00B360C0">
        <w:rPr>
          <w:rFonts w:ascii="Century Gothic" w:eastAsia="Times New Roman" w:hAnsi="Century Gothic" w:cs="Calibri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, Uczestnik projektu zobowiązuje się do zwrotu kosztów poniesionych przez beneficjenta, we wskazanym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</w:t>
      </w:r>
      <w:r w:rsidR="00DF1329">
        <w:rPr>
          <w:rFonts w:ascii="Century Gothic" w:eastAsia="Times New Roman" w:hAnsi="Century Gothic" w:cs="Calibri"/>
          <w:lang w:val="pl-PL" w:eastAsia="pl-PL"/>
        </w:rPr>
        <w:t>a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terminie</w:t>
      </w:r>
      <w:r w:rsidRPr="005C1AFB">
        <w:rPr>
          <w:rFonts w:ascii="Century Gothic" w:eastAsia="Times New Roman" w:hAnsi="Century Gothic" w:cs="Calibri"/>
          <w:vertAlign w:val="superscript"/>
          <w:lang w:val="pl-PL" w:eastAsia="pl-PL"/>
        </w:rPr>
        <w:footnoteReference w:id="1"/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074304BA" w14:textId="7F7DEEFE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Wysokość kwoty do zwrotu, o której mowa w ust. 4, a dotyczącej kosztów poniesionych na rzecz realizacji wsparcia szkoleniowo – doradczego, wyceniana jest przez </w:t>
      </w:r>
      <w:r w:rsidR="00DF1329">
        <w:rPr>
          <w:rFonts w:ascii="Century Gothic" w:eastAsia="Times New Roman" w:hAnsi="Century Gothic" w:cs="Calibri"/>
          <w:lang w:val="pl-PL" w:eastAsia="pl-PL"/>
        </w:rPr>
        <w:t>Realizatora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 oparciu o założone w projekcie koszty odnoszące się do tego wsparcia.</w:t>
      </w:r>
    </w:p>
    <w:p w14:paraId="3119070C" w14:textId="77777777" w:rsidR="005C1AFB" w:rsidRPr="005C1AFB" w:rsidRDefault="005C1AFB" w:rsidP="005C1AFB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28302908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bookmarkStart w:id="4" w:name="_Toc197927426"/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§ 5</w:t>
      </w:r>
    </w:p>
    <w:p w14:paraId="5AA2F14B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[Dane kontaktowe/ zawiadomienia]</w:t>
      </w:r>
    </w:p>
    <w:p w14:paraId="380FBED6" w14:textId="77777777" w:rsidR="005C1AFB" w:rsidRPr="001A4C1F" w:rsidRDefault="005C1AFB" w:rsidP="001A4C1F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highlight w:val="lightGray"/>
          <w:lang w:val="pl-PL" w:eastAsia="pl-PL"/>
        </w:rPr>
      </w:pPr>
    </w:p>
    <w:p w14:paraId="4AE8C4AC" w14:textId="1D56B282" w:rsidR="007F78FF" w:rsidRPr="00E96BD5" w:rsidRDefault="007F78FF" w:rsidP="00E96BD5">
      <w:pPr>
        <w:pStyle w:val="Akapitzlist"/>
        <w:numPr>
          <w:ilvl w:val="0"/>
          <w:numId w:val="26"/>
        </w:numPr>
        <w:spacing w:line="276" w:lineRule="auto"/>
        <w:rPr>
          <w:rFonts w:ascii="Century Gothic" w:eastAsia="Times New Roman" w:hAnsi="Century Gothic" w:cs="Calibri"/>
          <w:lang w:val="pl-PL" w:eastAsia="pl-PL"/>
        </w:rPr>
      </w:pPr>
      <w:r w:rsidRPr="0020483A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3C3EE3" w:rsidRPr="00E96BD5">
        <w:rPr>
          <w:rFonts w:ascii="Century Gothic" w:eastAsia="Times New Roman" w:hAnsi="Century Gothic" w:cs="Calibri"/>
          <w:lang w:val="pl-PL" w:eastAsia="pl-PL"/>
        </w:rPr>
        <w:t>Wszelka korespondencja związana z realizacją niniejszej Umowy będzie prowadzona w formie pisemnej oraz będzie się powoływała na numer niniejszej Umowy</w:t>
      </w:r>
    </w:p>
    <w:p w14:paraId="78FB6567" w14:textId="53E4BCCC" w:rsidR="003C3EE3" w:rsidRPr="0020483A" w:rsidRDefault="003C3EE3" w:rsidP="003C3EE3">
      <w:pPr>
        <w:pStyle w:val="Akapitzlist"/>
        <w:numPr>
          <w:ilvl w:val="0"/>
          <w:numId w:val="26"/>
        </w:numPr>
        <w:spacing w:line="276" w:lineRule="auto"/>
        <w:rPr>
          <w:rFonts w:ascii="Century Gothic" w:hAnsi="Century Gothic"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Realizatora, będzie doręczana na adres Biura projektu, które mieści się w Świdnicy (58-100), przy ulicy </w:t>
      </w:r>
      <w:r w:rsidR="00B74C69">
        <w:rPr>
          <w:rFonts w:ascii="Century Gothic" w:eastAsia="Times New Roman" w:hAnsi="Century Gothic" w:cs="Calibri"/>
          <w:lang w:val="pl-PL" w:eastAsia="pl-PL"/>
        </w:rPr>
        <w:t>Pafalu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 6</w:t>
      </w:r>
      <w:r w:rsidR="00B74C69">
        <w:rPr>
          <w:rFonts w:ascii="Century Gothic" w:eastAsia="Times New Roman" w:hAnsi="Century Gothic" w:cs="Calibri"/>
          <w:lang w:val="pl-PL" w:eastAsia="pl-PL"/>
        </w:rPr>
        <w:t xml:space="preserve"> lok. 26.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 Biuro projektu czynne jest w dni robocze, od poniedziałku do piątku w godzinach 8:00- 16:00. Dane kontaktowe do Biura projektu: tel. </w:t>
      </w:r>
      <w:r w:rsidRPr="003C3EE3">
        <w:rPr>
          <w:rFonts w:ascii="Century Gothic" w:eastAsia="Times New Roman" w:hAnsi="Century Gothic" w:cs="Calibri"/>
          <w:lang w:val="pl-PL" w:eastAsia="pl-PL"/>
        </w:rPr>
        <w:t>74 660 64 89</w:t>
      </w:r>
      <w:r w:rsidR="00BE7C9F">
        <w:rPr>
          <w:rFonts w:ascii="Century Gothic" w:eastAsia="Times New Roman" w:hAnsi="Century Gothic" w:cs="Calibri"/>
          <w:lang w:val="pl-PL" w:eastAsia="pl-PL"/>
        </w:rPr>
        <w:t>, adres e-mail:</w:t>
      </w:r>
      <w:hyperlink r:id="rId8" w:history="1">
        <w:r w:rsidR="00BE7C9F" w:rsidRPr="00870DD0">
          <w:rPr>
            <w:rStyle w:val="Hipercze"/>
            <w:rFonts w:ascii="Century Gothic" w:eastAsia="Times New Roman" w:hAnsi="Century Gothic" w:cs="Calibri"/>
            <w:lang w:val="pl-PL" w:eastAsia="pl-PL"/>
          </w:rPr>
          <w:t xml:space="preserve"> aktywni@sirr.pl</w:t>
        </w:r>
      </w:hyperlink>
    </w:p>
    <w:p w14:paraId="063A786C" w14:textId="185190F8" w:rsidR="005C1AFB" w:rsidRPr="001A4C1F" w:rsidRDefault="005C1AFB" w:rsidP="0020483A">
      <w:pPr>
        <w:numPr>
          <w:ilvl w:val="0"/>
          <w:numId w:val="26"/>
        </w:numPr>
        <w:spacing w:after="0" w:line="276" w:lineRule="auto"/>
        <w:jc w:val="both"/>
        <w:rPr>
          <w:rFonts w:ascii="Century Gothic" w:eastAsia="Times New Roman" w:hAnsi="Century Gothic" w:cs="Calibri"/>
          <w:b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Uczestnika projektu, będzie doręczana za pośrednictwem poczty tradycyjnej na adres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………..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ul.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…………..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 (kod pocztowy, miejscowość, ulica, nr budynku, nr lokalu)/ e-mail na adres </w:t>
      </w:r>
      <w:r w:rsidR="003159B0">
        <w:t>………………………………….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 Telefon kontaktowy: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……………</w:t>
      </w:r>
    </w:p>
    <w:p w14:paraId="0C2A7565" w14:textId="0C3345B3" w:rsid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2605A212" w14:textId="41274F4D" w:rsidR="003159B0" w:rsidRDefault="003159B0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1C1A10BF" w14:textId="77777777" w:rsidR="003159B0" w:rsidRPr="005C1AFB" w:rsidRDefault="003159B0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53E652F8" w14:textId="77777777" w:rsidR="005C1AFB" w:rsidRP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6 </w:t>
      </w:r>
    </w:p>
    <w:p w14:paraId="4609E589" w14:textId="77777777" w:rsidR="005C1AFB" w:rsidRPr="005C1AFB" w:rsidRDefault="005C1AFB" w:rsidP="005C1AFB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Prawo właściwe i właściwość sądów</w:t>
      </w:r>
      <w:bookmarkEnd w:id="4"/>
    </w:p>
    <w:p w14:paraId="04B792C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Postanowienia niniejszej Umowy podlegają prawu polskiemu.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</w:p>
    <w:p w14:paraId="1185FC17" w14:textId="4B3702AD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Wszelkie spory między </w:t>
      </w:r>
      <w:r w:rsidR="00B360C0">
        <w:rPr>
          <w:rFonts w:ascii="Century Gothic" w:eastAsia="Times New Roman" w:hAnsi="Century Gothic" w:cs="Calibri"/>
          <w:lang w:val="pl-PL" w:eastAsia="pl-PL"/>
        </w:rPr>
        <w:t>Realizatorem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a Uczestnikiem projektu związane z realizacją niniejszej Umowy podlegają rozstrzygnięciu przez sąd właściwy dla siedziby </w:t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>a.</w:t>
      </w:r>
    </w:p>
    <w:p w14:paraId="5C24A92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Umowę sporządzono w języku polskim, w dwóch jednobrzmiących egzemplarzach – po jednym dla każdej ze stron umowy. </w:t>
      </w:r>
    </w:p>
    <w:p w14:paraId="0579990E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Umowa wchodzi w życie w dniu podpisania jej przez obie strony.</w:t>
      </w:r>
    </w:p>
    <w:p w14:paraId="24F172CC" w14:textId="77777777" w:rsidR="005C1AFB" w:rsidRPr="005C1AFB" w:rsidRDefault="005C1AFB" w:rsidP="005C1AFB">
      <w:pPr>
        <w:spacing w:after="0" w:line="276" w:lineRule="auto"/>
        <w:ind w:left="567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5DCDC53D" w14:textId="77777777" w:rsidR="005C1AFB" w:rsidRPr="005C1AFB" w:rsidRDefault="005C1AFB" w:rsidP="005C1AFB">
      <w:pPr>
        <w:keepNext/>
        <w:widowControl w:val="0"/>
        <w:autoSpaceDE w:val="0"/>
        <w:autoSpaceDN w:val="0"/>
        <w:adjustRightInd w:val="0"/>
        <w:spacing w:after="0" w:line="276" w:lineRule="auto"/>
        <w:ind w:left="180"/>
        <w:jc w:val="center"/>
        <w:outlineLvl w:val="1"/>
        <w:rPr>
          <w:rFonts w:ascii="Century Gothic" w:eastAsia="Times New Roman" w:hAnsi="Century Gothic" w:cs="Calibri"/>
          <w:b/>
          <w:bCs/>
          <w:i/>
          <w:iCs/>
          <w:lang w:val="x-none" w:eastAsia="x-none"/>
        </w:rPr>
      </w:pPr>
    </w:p>
    <w:p w14:paraId="3A1499CA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35CB20D" w14:textId="220AE4EB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</w:p>
    <w:p w14:paraId="56276421" w14:textId="1E4ACA7E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……………………………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……………………………………......</w:t>
      </w:r>
    </w:p>
    <w:p w14:paraId="403923CC" w14:textId="273ABD49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>Uczestnik projektu</w:t>
      </w:r>
    </w:p>
    <w:p w14:paraId="2166E66C" w14:textId="5D4FFB24" w:rsidR="001F3A0A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 xml:space="preserve"> </w:t>
      </w:r>
    </w:p>
    <w:p w14:paraId="1E49764B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Cs/>
          <w:spacing w:val="8"/>
          <w:lang w:val="pl-PL" w:eastAsia="pl-PL"/>
        </w:rPr>
      </w:pPr>
    </w:p>
    <w:p w14:paraId="6E15D083" w14:textId="77777777" w:rsidR="001F3A0A" w:rsidRPr="005C1AFB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55ED36BD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859C1F6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672B0E9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28F9E3D7" w14:textId="77777777" w:rsidR="00F170E9" w:rsidRPr="005C1AFB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15A67910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7F1901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CEF0C0F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9AE8D57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871200B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6E70CE1" w14:textId="77777777" w:rsidR="008221F1" w:rsidRPr="005C1AFB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C1AFB" w:rsidSect="00C30981">
      <w:headerReference w:type="default" r:id="rId9"/>
      <w:footerReference w:type="even" r:id="rId10"/>
      <w:footerReference w:type="default" r:id="rId11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442F" w14:textId="77777777" w:rsidR="0028069D" w:rsidRDefault="0028069D" w:rsidP="001F3A0A">
      <w:pPr>
        <w:spacing w:after="0" w:line="240" w:lineRule="auto"/>
      </w:pPr>
      <w:r>
        <w:separator/>
      </w:r>
    </w:p>
  </w:endnote>
  <w:endnote w:type="continuationSeparator" w:id="0">
    <w:p w14:paraId="115A34BC" w14:textId="77777777" w:rsidR="0028069D" w:rsidRDefault="0028069D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921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0C94D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B5A9" w14:textId="35B81341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41EC">
      <w:rPr>
        <w:noProof/>
      </w:rPr>
      <w:t>1</w:t>
    </w:r>
    <w:r>
      <w:fldChar w:fldCharType="end"/>
    </w:r>
  </w:p>
  <w:p w14:paraId="3D48E013" w14:textId="77777777" w:rsidR="00C30981" w:rsidRDefault="00C30981" w:rsidP="00C30981">
    <w:pPr>
      <w:pStyle w:val="Stopka"/>
      <w:rPr>
        <w:noProof/>
        <w:sz w:val="18"/>
      </w:rPr>
    </w:pPr>
  </w:p>
  <w:p w14:paraId="2FC914EA" w14:textId="77777777" w:rsidR="00C30981" w:rsidRDefault="00C30981" w:rsidP="00C30981">
    <w:pPr>
      <w:pStyle w:val="Stopka"/>
      <w:rPr>
        <w:noProof/>
        <w:sz w:val="18"/>
      </w:rPr>
    </w:pPr>
  </w:p>
  <w:p w14:paraId="503430F2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B63744F" wp14:editId="7171D16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AC93D" wp14:editId="1F86EFD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AB09C8" wp14:editId="3AA303DD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D816B2" wp14:editId="6EEB633B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2E3CB" w14:textId="28C516EC" w:rsidR="00C30981" w:rsidRPr="001F3A0A" w:rsidRDefault="00C30981" w:rsidP="002102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r w:rsidR="00B74C69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 6 lok 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FF513E" w:rsidRPr="00FF513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0D99D0F8" w14:textId="4BF2D1DA" w:rsidR="00C30981" w:rsidRPr="001F3A0A" w:rsidRDefault="00C30981" w:rsidP="002102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BE7C9F" w:rsidRPr="00BE7C9F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BE7C9F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60F27510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16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" filled="f" stroked="f">
              <v:textbox>
                <w:txbxContent>
                  <w:p w14:paraId="7772E3CB" w14:textId="28C516EC" w:rsidR="00C30981" w:rsidRPr="001F3A0A" w:rsidRDefault="00C30981" w:rsidP="0021022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r w:rsidR="00B74C69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 6 lok 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FF513E" w:rsidRPr="00FF513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0D99D0F8" w14:textId="4BF2D1DA" w:rsidR="00C30981" w:rsidRPr="001F3A0A" w:rsidRDefault="00C30981" w:rsidP="0021022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BE7C9F" w:rsidRPr="00BE7C9F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BE7C9F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60F27510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AD3F4" wp14:editId="6CB22BDA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BB93" w14:textId="77777777" w:rsidR="00C30981" w:rsidRPr="00210225" w:rsidRDefault="00C30981" w:rsidP="00C30981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210225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1A8C3BB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AD3F4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1C80BB93" w14:textId="77777777" w:rsidR="00C30981" w:rsidRPr="00210225" w:rsidRDefault="00C30981" w:rsidP="00C30981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10225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1A8C3BB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7D4688E1" w14:textId="77777777" w:rsidR="00C30981" w:rsidRPr="00AE7375" w:rsidRDefault="00C30981" w:rsidP="00C30981">
    <w:pPr>
      <w:pStyle w:val="Stopka"/>
      <w:rPr>
        <w:sz w:val="18"/>
      </w:rPr>
    </w:pPr>
  </w:p>
  <w:p w14:paraId="15FE1F3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45BA" w14:textId="77777777" w:rsidR="0028069D" w:rsidRDefault="0028069D" w:rsidP="001F3A0A">
      <w:pPr>
        <w:spacing w:after="0" w:line="240" w:lineRule="auto"/>
      </w:pPr>
      <w:r>
        <w:separator/>
      </w:r>
    </w:p>
  </w:footnote>
  <w:footnote w:type="continuationSeparator" w:id="0">
    <w:p w14:paraId="380994B7" w14:textId="77777777" w:rsidR="0028069D" w:rsidRDefault="0028069D" w:rsidP="001F3A0A">
      <w:pPr>
        <w:spacing w:after="0" w:line="240" w:lineRule="auto"/>
      </w:pPr>
      <w:r>
        <w:continuationSeparator/>
      </w:r>
    </w:p>
  </w:footnote>
  <w:footnote w:id="1">
    <w:p w14:paraId="6B1F32D5" w14:textId="77777777" w:rsidR="005C1AFB" w:rsidRPr="005C1AFB" w:rsidRDefault="005C1AFB" w:rsidP="005C1AFB">
      <w:pPr>
        <w:pStyle w:val="Tekstprzypisudolnego"/>
        <w:jc w:val="both"/>
        <w:rPr>
          <w:rFonts w:ascii="Calibri" w:hAnsi="Calibri" w:cs="Calibri"/>
          <w:lang w:val="pl-PL"/>
        </w:rPr>
      </w:pPr>
      <w:r w:rsidRPr="006F0074">
        <w:rPr>
          <w:rStyle w:val="Odwoanieprzypisudolnego"/>
          <w:rFonts w:ascii="Calibri" w:hAnsi="Calibri" w:cs="Calibri"/>
        </w:rPr>
        <w:footnoteRef/>
      </w:r>
      <w:r w:rsidRPr="005C1AFB">
        <w:rPr>
          <w:rFonts w:ascii="Calibri" w:hAnsi="Calibri" w:cs="Calibri"/>
          <w:lang w:val="pl-PL"/>
        </w:rPr>
        <w:t xml:space="preserve"> </w:t>
      </w:r>
      <w:r w:rsidRPr="00B360C0">
        <w:rPr>
          <w:rFonts w:ascii="Century Gothic" w:hAnsi="Century Gothic" w:cs="Calibri"/>
          <w:sz w:val="18"/>
          <w:szCs w:val="18"/>
          <w:lang w:val="pl-PL"/>
        </w:rPr>
        <w:t>Procedura dokonywania zwrotu kosztów poniesionych przez Beneficjenta będzie każdorazowo wymagała uzgodnienia i akceptacji ze strony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DBE3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A066B2C" wp14:editId="234A400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2879D4A" wp14:editId="57AA2208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4E87A61" wp14:editId="55AB9D2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99B32" wp14:editId="72838A7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06C8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72DB1758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A1B925D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99B3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KvQIAAL4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" filled="f" stroked="f">
              <v:textbox>
                <w:txbxContent>
                  <w:p w14:paraId="715206C8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72DB1758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A1B925D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D436A"/>
    <w:multiLevelType w:val="multilevel"/>
    <w:tmpl w:val="F3DCD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405"/>
    <w:multiLevelType w:val="hybridMultilevel"/>
    <w:tmpl w:val="38D22A1E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F97"/>
    <w:multiLevelType w:val="hybridMultilevel"/>
    <w:tmpl w:val="294E16E0"/>
    <w:lvl w:ilvl="0" w:tplc="B9AEC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753D6"/>
    <w:multiLevelType w:val="hybridMultilevel"/>
    <w:tmpl w:val="F0F20E66"/>
    <w:lvl w:ilvl="0" w:tplc="BF501A8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DC4"/>
    <w:multiLevelType w:val="hybridMultilevel"/>
    <w:tmpl w:val="5AA6EC2C"/>
    <w:lvl w:ilvl="0" w:tplc="01AC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E0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54007">
    <w:abstractNumId w:val="7"/>
  </w:num>
  <w:num w:numId="2" w16cid:durableId="1810247007">
    <w:abstractNumId w:val="12"/>
  </w:num>
  <w:num w:numId="3" w16cid:durableId="749697141">
    <w:abstractNumId w:val="19"/>
  </w:num>
  <w:num w:numId="4" w16cid:durableId="364722311">
    <w:abstractNumId w:val="16"/>
  </w:num>
  <w:num w:numId="5" w16cid:durableId="1128162352">
    <w:abstractNumId w:val="14"/>
  </w:num>
  <w:num w:numId="6" w16cid:durableId="737557108">
    <w:abstractNumId w:val="17"/>
  </w:num>
  <w:num w:numId="7" w16cid:durableId="1476875005">
    <w:abstractNumId w:val="2"/>
  </w:num>
  <w:num w:numId="8" w16cid:durableId="1301350977">
    <w:abstractNumId w:val="4"/>
  </w:num>
  <w:num w:numId="9" w16cid:durableId="496773471">
    <w:abstractNumId w:val="9"/>
  </w:num>
  <w:num w:numId="10" w16cid:durableId="12735144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294537">
    <w:abstractNumId w:val="21"/>
  </w:num>
  <w:num w:numId="12" w16cid:durableId="535968493">
    <w:abstractNumId w:val="2"/>
  </w:num>
  <w:num w:numId="13" w16cid:durableId="9877046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849488">
    <w:abstractNumId w:val="23"/>
  </w:num>
  <w:num w:numId="15" w16cid:durableId="1322654919">
    <w:abstractNumId w:val="8"/>
  </w:num>
  <w:num w:numId="16" w16cid:durableId="1912303745">
    <w:abstractNumId w:val="6"/>
  </w:num>
  <w:num w:numId="17" w16cid:durableId="1194154338">
    <w:abstractNumId w:val="15"/>
  </w:num>
  <w:num w:numId="18" w16cid:durableId="1837575177">
    <w:abstractNumId w:val="0"/>
  </w:num>
  <w:num w:numId="19" w16cid:durableId="880635024">
    <w:abstractNumId w:val="18"/>
  </w:num>
  <w:num w:numId="20" w16cid:durableId="260915588">
    <w:abstractNumId w:val="20"/>
  </w:num>
  <w:num w:numId="21" w16cid:durableId="998845365">
    <w:abstractNumId w:val="3"/>
  </w:num>
  <w:num w:numId="22" w16cid:durableId="810364566">
    <w:abstractNumId w:val="11"/>
  </w:num>
  <w:num w:numId="23" w16cid:durableId="447164493">
    <w:abstractNumId w:val="10"/>
  </w:num>
  <w:num w:numId="24" w16cid:durableId="1463424712">
    <w:abstractNumId w:val="1"/>
  </w:num>
  <w:num w:numId="25" w16cid:durableId="258832000">
    <w:abstractNumId w:val="13"/>
  </w:num>
  <w:num w:numId="26" w16cid:durableId="1455518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562E6"/>
    <w:rsid w:val="00075BBD"/>
    <w:rsid w:val="00113856"/>
    <w:rsid w:val="00120C9A"/>
    <w:rsid w:val="00184EAA"/>
    <w:rsid w:val="001A4C1F"/>
    <w:rsid w:val="001F3A0A"/>
    <w:rsid w:val="0020483A"/>
    <w:rsid w:val="00210225"/>
    <w:rsid w:val="0028069D"/>
    <w:rsid w:val="0029106C"/>
    <w:rsid w:val="002965BF"/>
    <w:rsid w:val="002A32F3"/>
    <w:rsid w:val="002C2028"/>
    <w:rsid w:val="002C27CA"/>
    <w:rsid w:val="002C2B3A"/>
    <w:rsid w:val="002E2FB7"/>
    <w:rsid w:val="003159B0"/>
    <w:rsid w:val="00366162"/>
    <w:rsid w:val="00381EA6"/>
    <w:rsid w:val="003C3EE3"/>
    <w:rsid w:val="003D161E"/>
    <w:rsid w:val="003D2DEE"/>
    <w:rsid w:val="0042496B"/>
    <w:rsid w:val="0045651D"/>
    <w:rsid w:val="004641A7"/>
    <w:rsid w:val="004C15DB"/>
    <w:rsid w:val="005101FA"/>
    <w:rsid w:val="00573059"/>
    <w:rsid w:val="005B167D"/>
    <w:rsid w:val="005B250B"/>
    <w:rsid w:val="005C1AFB"/>
    <w:rsid w:val="005C2B62"/>
    <w:rsid w:val="005D6088"/>
    <w:rsid w:val="005F6810"/>
    <w:rsid w:val="006441D4"/>
    <w:rsid w:val="00650590"/>
    <w:rsid w:val="0065700E"/>
    <w:rsid w:val="00725213"/>
    <w:rsid w:val="007C2C0B"/>
    <w:rsid w:val="007D41EC"/>
    <w:rsid w:val="007F78FF"/>
    <w:rsid w:val="008221F1"/>
    <w:rsid w:val="0084699F"/>
    <w:rsid w:val="008674DC"/>
    <w:rsid w:val="00973B24"/>
    <w:rsid w:val="009B5C37"/>
    <w:rsid w:val="009C3541"/>
    <w:rsid w:val="00A13155"/>
    <w:rsid w:val="00A233F5"/>
    <w:rsid w:val="00A577EB"/>
    <w:rsid w:val="00A918EF"/>
    <w:rsid w:val="00AC60B8"/>
    <w:rsid w:val="00AD704E"/>
    <w:rsid w:val="00B26C55"/>
    <w:rsid w:val="00B360C0"/>
    <w:rsid w:val="00B47771"/>
    <w:rsid w:val="00B4780E"/>
    <w:rsid w:val="00B74C69"/>
    <w:rsid w:val="00BE7C9F"/>
    <w:rsid w:val="00C1663D"/>
    <w:rsid w:val="00C30981"/>
    <w:rsid w:val="00C50F58"/>
    <w:rsid w:val="00D27563"/>
    <w:rsid w:val="00D53783"/>
    <w:rsid w:val="00D9440D"/>
    <w:rsid w:val="00DA6203"/>
    <w:rsid w:val="00DB00E0"/>
    <w:rsid w:val="00DC54F7"/>
    <w:rsid w:val="00DF1329"/>
    <w:rsid w:val="00E949EB"/>
    <w:rsid w:val="00E96BD5"/>
    <w:rsid w:val="00EE10AA"/>
    <w:rsid w:val="00EF2308"/>
    <w:rsid w:val="00F170E9"/>
    <w:rsid w:val="00F6571F"/>
    <w:rsid w:val="00FC1EC7"/>
    <w:rsid w:val="00FD299E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2C4C5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"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60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ktywni@sir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36E5-265C-4CE9-8331-86B4595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10</cp:revision>
  <dcterms:created xsi:type="dcterms:W3CDTF">2020-06-22T13:09:00Z</dcterms:created>
  <dcterms:modified xsi:type="dcterms:W3CDTF">2022-09-26T11:04:00Z</dcterms:modified>
</cp:coreProperties>
</file>