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przedsiębiorcy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>ego roczny obrót nie przekracza 50 milionów EUR lub cał</w:t>
      </w:r>
      <w:bookmarkStart w:id="0" w:name="_GoBack"/>
      <w:bookmarkEnd w:id="0"/>
      <w:r w:rsidR="00626320" w:rsidRPr="00642D33">
        <w:t>kowity bilans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r w:rsidRPr="00642D33">
        <w:lastRenderedPageBreak/>
        <w:t>p</w:t>
      </w:r>
      <w:r w:rsidR="00C841CA" w:rsidRPr="00642D33">
        <w:t>rzedsiębiorcy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</w:t>
      </w:r>
      <w:proofErr w:type="spellStart"/>
      <w:r w:rsidRPr="00642D33">
        <w:rPr>
          <w:rFonts w:ascii="Calibri" w:eastAsia="Calibri" w:hAnsi="Calibri" w:cs="Times New Roman"/>
        </w:rPr>
        <w:t>pkt</w:t>
      </w:r>
      <w:proofErr w:type="spellEnd"/>
      <w:r w:rsidRPr="00642D33">
        <w:rPr>
          <w:rFonts w:ascii="Calibri" w:eastAsia="Calibri" w:hAnsi="Calibri" w:cs="Times New Roman"/>
        </w:rPr>
        <w:t xml:space="preserve">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( </w:t>
      </w:r>
      <w:proofErr w:type="spellStart"/>
      <w:r w:rsidRPr="00642D33">
        <w:rPr>
          <w:rFonts w:ascii="Calibri" w:eastAsia="Calibri" w:hAnsi="Calibri" w:cs="Times New Roman"/>
        </w:rPr>
        <w:t>Dz.U</w:t>
      </w:r>
      <w:proofErr w:type="spellEnd"/>
      <w:r w:rsidRPr="00642D33">
        <w:rPr>
          <w:rFonts w:ascii="Calibri" w:eastAsia="Calibri" w:hAnsi="Calibri" w:cs="Times New Roman"/>
        </w:rPr>
        <w:t>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</w:t>
      </w:r>
      <w:proofErr w:type="spellStart"/>
      <w:r w:rsidR="00B627A4" w:rsidRPr="00642D33">
        <w:rPr>
          <w:rFonts w:ascii="Calibri" w:eastAsia="Calibri" w:hAnsi="Calibri" w:cs="Times New Roman"/>
        </w:rPr>
        <w:t>Dz.U</w:t>
      </w:r>
      <w:proofErr w:type="spellEnd"/>
      <w:r w:rsidR="00B627A4" w:rsidRPr="00642D33">
        <w:rPr>
          <w:rFonts w:ascii="Calibri" w:eastAsia="Calibri" w:hAnsi="Calibri" w:cs="Times New Roman"/>
        </w:rPr>
        <w:t>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E442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A7" w:rsidRDefault="003822A7" w:rsidP="00521209">
      <w:pPr>
        <w:spacing w:after="0" w:line="240" w:lineRule="auto"/>
      </w:pPr>
      <w:r>
        <w:separator/>
      </w:r>
    </w:p>
  </w:endnote>
  <w:endnote w:type="continuationSeparator" w:id="0">
    <w:p w:rsidR="003822A7" w:rsidRDefault="003822A7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E442FE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4B6D95">
          <w:rPr>
            <w:noProof/>
          </w:rPr>
          <w:t>1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A7" w:rsidRDefault="003822A7" w:rsidP="00521209">
      <w:pPr>
        <w:spacing w:after="0" w:line="240" w:lineRule="auto"/>
      </w:pPr>
      <w:r>
        <w:separator/>
      </w:r>
    </w:p>
  </w:footnote>
  <w:footnote w:type="continuationSeparator" w:id="0">
    <w:p w:rsidR="003822A7" w:rsidRDefault="003822A7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4B6D95">
    <w:pPr>
      <w:pStyle w:val="Nagwek"/>
    </w:pPr>
    <w:r w:rsidRPr="004B6D95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822A7"/>
    <w:rsid w:val="003A30E6"/>
    <w:rsid w:val="003C2D33"/>
    <w:rsid w:val="00417C13"/>
    <w:rsid w:val="00454EB2"/>
    <w:rsid w:val="00465565"/>
    <w:rsid w:val="00491C3B"/>
    <w:rsid w:val="004B6D95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2B2C"/>
    <w:rsid w:val="00617B2C"/>
    <w:rsid w:val="00621038"/>
    <w:rsid w:val="00626320"/>
    <w:rsid w:val="00642D3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4479D"/>
    <w:rsid w:val="00C841CA"/>
    <w:rsid w:val="00C85DF0"/>
    <w:rsid w:val="00D05121"/>
    <w:rsid w:val="00D36993"/>
    <w:rsid w:val="00D446C3"/>
    <w:rsid w:val="00D713C1"/>
    <w:rsid w:val="00D80F95"/>
    <w:rsid w:val="00D8346F"/>
    <w:rsid w:val="00E22B21"/>
    <w:rsid w:val="00E442FE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44</cp:revision>
  <cp:lastPrinted>2018-04-27T13:53:00Z</cp:lastPrinted>
  <dcterms:created xsi:type="dcterms:W3CDTF">2017-08-16T08:28:00Z</dcterms:created>
  <dcterms:modified xsi:type="dcterms:W3CDTF">2018-07-02T12:47:00Z</dcterms:modified>
</cp:coreProperties>
</file>