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w:t>
            </w:r>
            <w:r w:rsidR="00766768">
              <w:rPr>
                <w:rFonts w:asciiTheme="minorHAnsi" w:hAnsiTheme="minorHAnsi" w:cstheme="minorHAnsi"/>
                <w:b/>
                <w:sz w:val="24"/>
                <w:szCs w:val="24"/>
              </w:rPr>
              <w:t>.01</w:t>
            </w:r>
            <w:r w:rsidRPr="00975986">
              <w:rPr>
                <w:rFonts w:asciiTheme="minorHAnsi" w:hAnsiTheme="minorHAnsi" w:cstheme="minorHAnsi"/>
                <w:b/>
                <w:sz w:val="24"/>
                <w:szCs w:val="24"/>
              </w:rPr>
              <w:t>-02-00</w:t>
            </w:r>
            <w:r w:rsidR="00766768">
              <w:rPr>
                <w:rFonts w:asciiTheme="minorHAnsi" w:hAnsiTheme="minorHAnsi" w:cstheme="minorHAnsi"/>
                <w:b/>
                <w:sz w:val="24"/>
                <w:szCs w:val="24"/>
              </w:rPr>
              <w:t>12</w:t>
            </w:r>
            <w:r w:rsidRPr="00975986">
              <w:rPr>
                <w:rFonts w:asciiTheme="minorHAnsi" w:hAnsiTheme="minorHAnsi" w:cstheme="minorHAnsi"/>
                <w:b/>
                <w:sz w:val="24"/>
                <w:szCs w:val="24"/>
              </w:rPr>
              <w:t>/17</w:t>
            </w:r>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bookmarkStart w:id="0" w:name="_GoBack"/>
      <w:bookmarkEnd w:id="0"/>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w:t>
            </w:r>
            <w:proofErr w:type="gramStart"/>
            <w:r w:rsidR="00AE5E31" w:rsidRPr="00FE3D6E">
              <w:rPr>
                <w:rFonts w:asciiTheme="minorHAnsi" w:hAnsiTheme="minorHAnsi" w:cstheme="minorHAnsi"/>
                <w:i/>
                <w:spacing w:val="-20"/>
                <w:sz w:val="16"/>
                <w:szCs w:val="16"/>
              </w:rPr>
              <w:t>ten  adres</w:t>
            </w:r>
            <w:proofErr w:type="gramEnd"/>
            <w:r w:rsidR="00AE5E31" w:rsidRPr="00FE3D6E">
              <w:rPr>
                <w:rFonts w:asciiTheme="minorHAnsi" w:hAnsiTheme="minorHAnsi" w:cstheme="minorHAnsi"/>
                <w:i/>
                <w:spacing w:val="-20"/>
                <w:sz w:val="16"/>
                <w:szCs w:val="16"/>
              </w:rPr>
              <w:t xml:space="preserve">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proofErr w:type="gramStart"/>
            <w:r w:rsidRPr="00EB6EB3">
              <w:rPr>
                <w:rFonts w:asciiTheme="minorHAnsi" w:hAnsiTheme="minorHAnsi" w:cstheme="minorHAnsi"/>
                <w:b/>
                <w:spacing w:val="-20"/>
                <w:sz w:val="18"/>
              </w:rPr>
              <w:t>14 .</w:t>
            </w:r>
            <w:proofErr w:type="gramEnd"/>
            <w:r w:rsidRPr="00EB6EB3">
              <w:rPr>
                <w:rFonts w:asciiTheme="minorHAnsi" w:hAnsiTheme="minorHAnsi" w:cstheme="minorHAnsi"/>
                <w:b/>
                <w:spacing w:val="-20"/>
                <w:sz w:val="18"/>
              </w:rPr>
              <w:t xml:space="preserve">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proofErr w:type="gramStart"/>
            <w:r w:rsidRPr="00CA5633">
              <w:rPr>
                <w:rFonts w:asciiTheme="minorHAnsi" w:hAnsiTheme="minorHAnsi" w:cstheme="minorHAnsi"/>
                <w:b/>
                <w:sz w:val="18"/>
                <w:szCs w:val="18"/>
              </w:rPr>
              <w:t>Udział  %</w:t>
            </w:r>
            <w:proofErr w:type="gramEnd"/>
            <w:r w:rsidRPr="00CA5633">
              <w:rPr>
                <w:rFonts w:asciiTheme="minorHAnsi" w:hAnsiTheme="minorHAnsi" w:cstheme="minorHAnsi"/>
                <w:b/>
                <w:sz w:val="18"/>
                <w:szCs w:val="18"/>
              </w:rPr>
              <w:t xml:space="preserve">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w:t>
            </w:r>
            <w:proofErr w:type="gramStart"/>
            <w:r w:rsidR="00773D4B" w:rsidRPr="00EB6EB3">
              <w:rPr>
                <w:rFonts w:asciiTheme="minorHAnsi" w:eastAsia="Times New Roman" w:hAnsiTheme="minorHAnsi" w:cstheme="minorHAnsi"/>
                <w:i/>
                <w:sz w:val="16"/>
                <w:szCs w:val="16"/>
              </w:rPr>
              <w:t>się</w:t>
            </w:r>
            <w:proofErr w:type="gramEnd"/>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r>
            <w:proofErr w:type="gramStart"/>
            <w:r w:rsidRPr="00975986">
              <w:rPr>
                <w:rFonts w:asciiTheme="minorHAnsi" w:hAnsiTheme="minorHAnsi" w:cstheme="minorHAnsi"/>
                <w:sz w:val="18"/>
              </w:rPr>
              <w:t xml:space="preserve">netto:   </w:t>
            </w:r>
            <w:proofErr w:type="gramEnd"/>
            <w:r w:rsidRPr="00975986">
              <w:rPr>
                <w:rFonts w:asciiTheme="minorHAnsi" w:hAnsiTheme="minorHAnsi" w:cstheme="minorHAnsi"/>
                <w:sz w:val="18"/>
              </w:rPr>
              <w:t xml:space="preserve">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r>
            <w:proofErr w:type="gramStart"/>
            <w:r w:rsidRPr="00975986">
              <w:rPr>
                <w:rFonts w:asciiTheme="minorHAnsi" w:hAnsiTheme="minorHAnsi" w:cstheme="minorHAnsi"/>
                <w:sz w:val="18"/>
              </w:rPr>
              <w:t xml:space="preserve">netto:   </w:t>
            </w:r>
            <w:proofErr w:type="gramEnd"/>
            <w:r w:rsidRPr="00975986">
              <w:rPr>
                <w:rFonts w:asciiTheme="minorHAnsi" w:hAnsiTheme="minorHAnsi" w:cstheme="minorHAnsi"/>
                <w:sz w:val="18"/>
              </w:rPr>
              <w:t xml:space="preserve">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w:t>
            </w:r>
            <w:proofErr w:type="gramStart"/>
            <w:r w:rsidR="001B7DA8" w:rsidRPr="00975986">
              <w:rPr>
                <w:rFonts w:asciiTheme="minorHAnsi" w:hAnsiTheme="minorHAnsi" w:cstheme="minorHAnsi"/>
                <w:b/>
                <w:sz w:val="18"/>
              </w:rPr>
              <w:t xml:space="preserve">   (</w:t>
            </w:r>
            <w:proofErr w:type="gramEnd"/>
            <w:r w:rsidR="001B7DA8" w:rsidRPr="00975986">
              <w:rPr>
                <w:rFonts w:asciiTheme="minorHAnsi" w:hAnsiTheme="minorHAnsi" w:cstheme="minorHAnsi"/>
                <w:b/>
                <w:sz w:val="18"/>
              </w:rPr>
              <w:t>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proofErr w:type="gramStart"/>
            <w:r w:rsidR="003256F8">
              <w:rPr>
                <w:rFonts w:asciiTheme="minorHAnsi" w:hAnsiTheme="minorHAnsi" w:cstheme="minorHAnsi"/>
                <w:b/>
                <w:sz w:val="18"/>
              </w:rPr>
              <w:t xml:space="preserve">   </w:t>
            </w:r>
            <w:r w:rsidR="003256F8" w:rsidRPr="00975986">
              <w:rPr>
                <w:rFonts w:asciiTheme="minorHAnsi" w:hAnsiTheme="minorHAnsi" w:cstheme="minorHAnsi"/>
                <w:b/>
                <w:sz w:val="18"/>
              </w:rPr>
              <w:t>(</w:t>
            </w:r>
            <w:proofErr w:type="gramEnd"/>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w:t>
            </w:r>
            <w:proofErr w:type="gramStart"/>
            <w:r w:rsidR="001B7DA8" w:rsidRPr="00975986">
              <w:rPr>
                <w:rFonts w:asciiTheme="minorHAnsi" w:hAnsiTheme="minorHAnsi" w:cstheme="minorHAnsi"/>
                <w:b/>
                <w:sz w:val="18"/>
              </w:rPr>
              <w:t>Usługa  ma</w:t>
            </w:r>
            <w:proofErr w:type="gramEnd"/>
            <w:r w:rsidR="001B7DA8" w:rsidRPr="00975986">
              <w:rPr>
                <w:rFonts w:asciiTheme="minorHAnsi" w:hAnsiTheme="minorHAnsi" w:cstheme="minorHAnsi"/>
                <w:b/>
                <w:sz w:val="18"/>
              </w:rPr>
              <w:t xml:space="preserve">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w:t>
      </w:r>
      <w:proofErr w:type="gramStart"/>
      <w:r w:rsidRPr="00094725">
        <w:rPr>
          <w:rFonts w:asciiTheme="minorHAnsi" w:hAnsiTheme="minorHAnsi" w:cstheme="minorHAnsi"/>
          <w:i/>
        </w:rPr>
        <w:t xml:space="preserve">miejscowość)   </w:t>
      </w:r>
      <w:proofErr w:type="gramEnd"/>
      <w:r w:rsidRPr="00094725">
        <w:rPr>
          <w:rFonts w:asciiTheme="minorHAnsi" w:hAnsiTheme="minorHAnsi" w:cstheme="minorHAnsi"/>
          <w:i/>
        </w:rPr>
        <w:t xml:space="preserve">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w:t>
      </w:r>
      <w:proofErr w:type="gramStart"/>
      <w:r w:rsidR="00FA5D78" w:rsidRPr="00975986">
        <w:rPr>
          <w:rFonts w:asciiTheme="minorHAnsi" w:hAnsiTheme="minorHAnsi" w:cstheme="minorHAnsi"/>
          <w:sz w:val="22"/>
          <w:szCs w:val="22"/>
        </w:rPr>
        <w:t>Załączniku  n</w:t>
      </w:r>
      <w:r w:rsidR="00144FFA" w:rsidRPr="00975986">
        <w:rPr>
          <w:rFonts w:asciiTheme="minorHAnsi" w:hAnsiTheme="minorHAnsi" w:cstheme="minorHAnsi"/>
          <w:sz w:val="22"/>
          <w:szCs w:val="22"/>
        </w:rPr>
        <w:t>r</w:t>
      </w:r>
      <w:proofErr w:type="gramEnd"/>
      <w:r w:rsidR="00144FFA" w:rsidRPr="00975986">
        <w:rPr>
          <w:rFonts w:asciiTheme="minorHAnsi" w:hAnsiTheme="minorHAnsi" w:cstheme="minorHAnsi"/>
          <w:sz w:val="22"/>
          <w:szCs w:val="22"/>
        </w:rPr>
        <w:t xml:space="preserve">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w:t>
      </w:r>
      <w:proofErr w:type="gramStart"/>
      <w:r w:rsidR="00FA5D78" w:rsidRPr="00975986">
        <w:rPr>
          <w:rFonts w:asciiTheme="minorHAnsi" w:hAnsiTheme="minorHAnsi" w:cstheme="minorHAnsi"/>
          <w:sz w:val="22"/>
          <w:szCs w:val="22"/>
        </w:rPr>
        <w:t>Usługa</w:t>
      </w:r>
      <w:proofErr w:type="gramEnd"/>
      <w:r w:rsidR="00FA5D78" w:rsidRPr="00975986">
        <w:rPr>
          <w:rFonts w:asciiTheme="minorHAnsi" w:hAnsiTheme="minorHAnsi" w:cstheme="minorHAnsi"/>
          <w:sz w:val="22"/>
          <w:szCs w:val="22"/>
        </w:rPr>
        <w:t xml:space="preserve">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w:t>
      </w:r>
      <w:proofErr w:type="gramStart"/>
      <w:r w:rsidRPr="00094725">
        <w:rPr>
          <w:rFonts w:asciiTheme="minorHAnsi" w:hAnsiTheme="minorHAnsi" w:cstheme="minorHAnsi"/>
          <w:i/>
        </w:rPr>
        <w:t xml:space="preserve">miejscowość)   </w:t>
      </w:r>
      <w:proofErr w:type="gramEnd"/>
      <w:r w:rsidRPr="00094725">
        <w:rPr>
          <w:rFonts w:asciiTheme="minorHAnsi" w:hAnsiTheme="minorHAnsi" w:cstheme="minorHAnsi"/>
          <w:i/>
        </w:rPr>
        <w:t xml:space="preserve">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rsidR="00F37547"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DE59D7">
        <w:rPr>
          <w:rFonts w:asciiTheme="minorHAnsi" w:hAnsiTheme="minorHAnsi" w:cstheme="minorHAnsi"/>
          <w:sz w:val="22"/>
          <w:szCs w:val="22"/>
        </w:rPr>
        <w:t xml:space="preserve">/ </w:t>
      </w:r>
      <w:r w:rsidR="006355F7">
        <w:rPr>
          <w:rFonts w:asciiTheme="minorHAnsi" w:hAnsiTheme="minorHAnsi" w:cstheme="minorHAnsi"/>
          <w:sz w:val="22"/>
          <w:szCs w:val="22"/>
        </w:rPr>
        <w:t>12b.),</w:t>
      </w:r>
    </w:p>
    <w:p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F0E" w:rsidRDefault="00DB7F0E" w:rsidP="00BB7C76">
      <w:r>
        <w:separator/>
      </w:r>
    </w:p>
  </w:endnote>
  <w:endnote w:type="continuationSeparator" w:id="0">
    <w:p w:rsidR="00DB7F0E" w:rsidRDefault="00DB7F0E"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896434"/>
      <w:docPartObj>
        <w:docPartGallery w:val="Page Numbers (Bottom of Page)"/>
        <w:docPartUnique/>
      </w:docPartObj>
    </w:sdtPr>
    <w:sdtEndPr/>
    <w:sdtContent>
      <w:p w:rsidR="006220AF" w:rsidRDefault="00E47ED6">
        <w:pPr>
          <w:pStyle w:val="Stopka"/>
          <w:jc w:val="right"/>
        </w:pPr>
        <w:r>
          <w:fldChar w:fldCharType="begin"/>
        </w:r>
        <w:r w:rsidR="006220AF">
          <w:instrText>PAGE   \* MERGEFORMAT</w:instrText>
        </w:r>
        <w:r>
          <w:fldChar w:fldCharType="separate"/>
        </w:r>
        <w:r w:rsidR="002E7BDE">
          <w:rPr>
            <w:noProof/>
          </w:rPr>
          <w:t>7</w:t>
        </w:r>
        <w:r>
          <w:fldChar w:fldCharType="end"/>
        </w:r>
      </w:p>
    </w:sdtContent>
  </w:sdt>
  <w:p w:rsidR="00915D15" w:rsidRDefault="00915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F0E" w:rsidRDefault="00DB7F0E" w:rsidP="00BB7C76">
      <w:r>
        <w:separator/>
      </w:r>
    </w:p>
  </w:footnote>
  <w:footnote w:type="continuationSeparator" w:id="0">
    <w:p w:rsidR="00DB7F0E" w:rsidRDefault="00DB7F0E" w:rsidP="00BB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89" w:rsidRPr="0064513C" w:rsidRDefault="002E7BDE" w:rsidP="003E6989">
    <w:pPr>
      <w:pStyle w:val="Nagwek"/>
      <w:rPr>
        <w:rFonts w:asciiTheme="minorHAnsi" w:hAnsiTheme="minorHAnsi"/>
        <w:sz w:val="22"/>
        <w:szCs w:val="22"/>
      </w:rPr>
    </w:pPr>
    <w:r w:rsidRPr="002E7BDE">
      <w:rPr>
        <w:rFonts w:asciiTheme="minorHAnsi" w:hAnsiTheme="minorHAnsi"/>
        <w:noProof/>
        <w:sz w:val="22"/>
        <w:szCs w:val="22"/>
      </w:rPr>
      <w:drawing>
        <wp:inline distT="0" distB="0" distL="0" distR="0">
          <wp:extent cx="5760720" cy="678278"/>
          <wp:effectExtent l="19050" t="0" r="0" b="0"/>
          <wp:docPr id="15" name="Obraz 15"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E7BDE"/>
    <w:rsid w:val="002F69E1"/>
    <w:rsid w:val="00300F78"/>
    <w:rsid w:val="00304409"/>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6768"/>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B7F0E"/>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47ED6"/>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6BC6D41"/>
  <w15:docId w15:val="{B86FA8B7-7EB2-47C4-9F5A-B9B12441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B1C93-B6B8-4FB4-9DA2-FA258A05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7</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Justyna</cp:lastModifiedBy>
  <cp:revision>159</cp:revision>
  <cp:lastPrinted>2018-04-26T09:55:00Z</cp:lastPrinted>
  <dcterms:created xsi:type="dcterms:W3CDTF">2017-08-11T09:24:00Z</dcterms:created>
  <dcterms:modified xsi:type="dcterms:W3CDTF">2018-11-26T12:46:00Z</dcterms:modified>
</cp:coreProperties>
</file>